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80" w:lineRule="auto"/>
        <w:ind w:firstLineChars="0"/>
        <w:jc w:val="center"/>
        <w:rPr>
          <w:rStyle w:val="21"/>
          <w:rFonts w:ascii="黑体" w:hAnsi="黑体" w:eastAsia="黑体"/>
          <w:b/>
          <w:sz w:val="44"/>
          <w:szCs w:val="44"/>
        </w:rPr>
      </w:pPr>
      <w:r>
        <w:rPr>
          <w:rStyle w:val="21"/>
          <w:rFonts w:ascii="黑体" w:hAnsi="黑体" w:eastAsia="黑体"/>
          <w:b/>
          <w:sz w:val="44"/>
          <w:szCs w:val="44"/>
        </w:rPr>
        <w:t>非甲烷总烃标准气体量值比对测试</w:t>
      </w:r>
    </w:p>
    <w:p>
      <w:pPr>
        <w:spacing w:before="0" w:line="780" w:lineRule="auto"/>
        <w:ind w:firstLineChars="0"/>
        <w:jc w:val="center"/>
        <w:rPr>
          <w:rStyle w:val="21"/>
          <w:rFonts w:ascii="黑体" w:hAnsi="黑体" w:eastAsia="黑体"/>
          <w:b/>
          <w:sz w:val="44"/>
          <w:szCs w:val="44"/>
        </w:rPr>
      </w:pPr>
      <w:r>
        <w:rPr>
          <w:rStyle w:val="21"/>
          <w:rFonts w:ascii="黑体" w:hAnsi="黑体" w:eastAsia="黑体"/>
          <w:b/>
          <w:sz w:val="44"/>
          <w:szCs w:val="44"/>
        </w:rPr>
        <w:t>项目需求</w:t>
      </w: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0"/>
        <w:ind w:firstLineChars="0"/>
        <w:jc w:val="center"/>
        <w:rPr>
          <w:rStyle w:val="21"/>
          <w:rFonts w:ascii="Times New Roman" w:hAnsi="Times New Roman"/>
          <w:sz w:val="28"/>
          <w:szCs w:val="28"/>
        </w:rPr>
      </w:pPr>
      <w:r>
        <w:rPr>
          <w:rStyle w:val="21"/>
          <w:rFonts w:ascii="Times New Roman" w:hAnsi="Times New Roman"/>
          <w:sz w:val="28"/>
          <w:szCs w:val="28"/>
        </w:rPr>
        <w:t>中国环境监测总站</w:t>
      </w:r>
    </w:p>
    <w:p>
      <w:pPr>
        <w:spacing w:before="0"/>
        <w:ind w:firstLine="106" w:firstLineChars="38"/>
        <w:jc w:val="center"/>
        <w:rPr>
          <w:rStyle w:val="21"/>
          <w:rFonts w:ascii="Times New Roman" w:hAnsi="Times New Roman"/>
          <w:sz w:val="28"/>
          <w:szCs w:val="28"/>
        </w:rPr>
      </w:pPr>
      <w:r>
        <w:rPr>
          <w:rStyle w:val="21"/>
          <w:rFonts w:ascii="Times New Roman" w:hAnsi="Times New Roman"/>
          <w:sz w:val="28"/>
          <w:szCs w:val="28"/>
        </w:rPr>
        <w:t>2021年4月</w:t>
      </w:r>
    </w:p>
    <w:p>
      <w:pPr>
        <w:spacing w:before="156"/>
        <w:ind w:firstLineChars="0"/>
        <w:rPr>
          <w:rStyle w:val="21"/>
          <w:rFonts w:ascii="Times New Roman" w:hAnsi="Times New Roman"/>
        </w:rPr>
      </w:pPr>
    </w:p>
    <w:p>
      <w:pPr>
        <w:spacing w:before="156"/>
        <w:ind w:firstLine="480"/>
        <w:rPr>
          <w:rStyle w:val="21"/>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spacing w:before="156"/>
        <w:ind w:firstLine="600"/>
        <w:jc w:val="center"/>
        <w:rPr>
          <w:rStyle w:val="21"/>
          <w:rFonts w:ascii="Times New Roman" w:hAnsi="Times New Roman"/>
          <w:sz w:val="30"/>
          <w:szCs w:val="30"/>
        </w:rPr>
      </w:pPr>
      <w:r>
        <w:rPr>
          <w:rStyle w:val="21"/>
          <w:rFonts w:ascii="Times New Roman" w:hAnsi="Times New Roman"/>
          <w:color w:val="000000"/>
          <w:sz w:val="30"/>
          <w:szCs w:val="30"/>
          <w:lang w:val="zh-CN"/>
        </w:rPr>
        <w:t>目录</w:t>
      </w:r>
    </w:p>
    <w:p>
      <w:pPr>
        <w:pStyle w:val="40"/>
        <w:spacing w:before="156"/>
        <w:ind w:firstLine="200"/>
        <w:rPr>
          <w:rStyle w:val="11"/>
          <w:rFonts w:ascii="Times New Roman" w:hAnsi="Times New Roman" w:cs="Times New Roman"/>
          <w:sz w:val="28"/>
          <w:szCs w:val="28"/>
          <w:u w:color="0563C1"/>
        </w:rPr>
      </w:pPr>
      <w:r>
        <w:rPr>
          <w:rStyle w:val="11"/>
          <w:rFonts w:ascii="Times New Roman" w:hAnsi="Times New Roman" w:cs="Times New Roman"/>
          <w:sz w:val="28"/>
          <w:szCs w:val="28"/>
          <w:u w:color="0563C1"/>
        </w:rPr>
        <w:t>1项目背景</w:t>
      </w:r>
      <w:r>
        <w:rPr>
          <w:rStyle w:val="11"/>
          <w:rFonts w:ascii="Times New Roman" w:hAnsi="Times New Roman" w:cs="Times New Roman"/>
          <w:sz w:val="28"/>
          <w:szCs w:val="28"/>
          <w:u w:color="0563C1"/>
        </w:rPr>
        <w:tab/>
      </w:r>
      <w:r>
        <w:rPr>
          <w:rStyle w:val="11"/>
          <w:rFonts w:ascii="Times New Roman" w:hAnsi="Times New Roman" w:cs="Times New Roman"/>
          <w:sz w:val="28"/>
          <w:szCs w:val="28"/>
          <w:u w:color="0563C1"/>
        </w:rPr>
        <w:t>1</w:t>
      </w:r>
    </w:p>
    <w:p>
      <w:pPr>
        <w:pStyle w:val="40"/>
        <w:spacing w:before="156"/>
        <w:ind w:firstLine="200"/>
        <w:rPr>
          <w:rStyle w:val="11"/>
          <w:rFonts w:ascii="Times New Roman" w:hAnsi="Times New Roman" w:cs="Times New Roman"/>
          <w:sz w:val="28"/>
          <w:szCs w:val="28"/>
          <w:u w:color="0563C1"/>
        </w:rPr>
      </w:pPr>
      <w:r>
        <w:rPr>
          <w:rStyle w:val="11"/>
          <w:rFonts w:ascii="Times New Roman" w:hAnsi="Times New Roman" w:cs="Times New Roman"/>
          <w:sz w:val="28"/>
          <w:szCs w:val="28"/>
          <w:u w:color="0563C1"/>
        </w:rPr>
        <w:t>2项目需求</w:t>
      </w:r>
      <w:r>
        <w:rPr>
          <w:rStyle w:val="11"/>
          <w:rFonts w:ascii="Times New Roman" w:hAnsi="Times New Roman" w:cs="Times New Roman"/>
          <w:sz w:val="28"/>
          <w:szCs w:val="28"/>
          <w:u w:color="0563C1"/>
        </w:rPr>
        <w:tab/>
      </w:r>
      <w:r>
        <w:rPr>
          <w:rStyle w:val="11"/>
          <w:rFonts w:ascii="Times New Roman" w:hAnsi="Times New Roman" w:cs="Times New Roman"/>
          <w:sz w:val="28"/>
          <w:szCs w:val="28"/>
          <w:u w:color="0563C1"/>
        </w:rPr>
        <w:t>1</w:t>
      </w:r>
    </w:p>
    <w:p>
      <w:pPr>
        <w:pStyle w:val="40"/>
        <w:spacing w:before="156"/>
        <w:ind w:firstLine="200"/>
        <w:rPr>
          <w:rStyle w:val="11"/>
          <w:rFonts w:hint="eastAsia" w:ascii="Times New Roman" w:hAnsi="Times New Roman" w:eastAsia="宋体" w:cs="Times New Roman"/>
          <w:sz w:val="28"/>
          <w:szCs w:val="28"/>
          <w:u w:color="0563C1"/>
          <w:lang w:eastAsia="zh-CN"/>
        </w:rPr>
      </w:pPr>
      <w:r>
        <w:rPr>
          <w:rStyle w:val="11"/>
          <w:rFonts w:ascii="Times New Roman" w:hAnsi="Times New Roman" w:cs="Times New Roman"/>
          <w:sz w:val="28"/>
          <w:szCs w:val="28"/>
          <w:u w:color="0563C1"/>
        </w:rPr>
        <w:t>3技术支持与付费</w:t>
      </w:r>
      <w:r>
        <w:rPr>
          <w:rStyle w:val="11"/>
          <w:rFonts w:ascii="Times New Roman" w:hAnsi="Times New Roman" w:cs="Times New Roman"/>
          <w:sz w:val="28"/>
          <w:szCs w:val="28"/>
          <w:u w:color="0563C1"/>
        </w:rPr>
        <w:tab/>
      </w:r>
      <w:r>
        <w:rPr>
          <w:rStyle w:val="11"/>
          <w:rFonts w:hint="eastAsia" w:ascii="Times New Roman" w:hAnsi="Times New Roman" w:cs="Times New Roman"/>
          <w:sz w:val="28"/>
          <w:szCs w:val="28"/>
          <w:u w:color="0563C1"/>
          <w:lang w:val="en-US" w:eastAsia="zh-CN"/>
        </w:rPr>
        <w:t>3</w:t>
      </w:r>
    </w:p>
    <w:p>
      <w:pPr>
        <w:pStyle w:val="40"/>
        <w:spacing w:before="156"/>
        <w:ind w:firstLine="200"/>
        <w:rPr>
          <w:rStyle w:val="11"/>
          <w:rFonts w:hint="eastAsia" w:ascii="Times New Roman" w:hAnsi="Times New Roman" w:eastAsia="宋体" w:cs="Times New Roman"/>
          <w:sz w:val="28"/>
          <w:szCs w:val="28"/>
          <w:u w:color="0563C1"/>
          <w:lang w:eastAsia="zh-CN"/>
        </w:rPr>
      </w:pPr>
      <w:r>
        <w:rPr>
          <w:rStyle w:val="11"/>
          <w:rFonts w:ascii="Times New Roman" w:hAnsi="Times New Roman" w:cs="Times New Roman"/>
          <w:sz w:val="28"/>
          <w:szCs w:val="28"/>
          <w:u w:color="0563C1"/>
        </w:rPr>
        <w:t>4其他补充</w:t>
      </w:r>
      <w:r>
        <w:rPr>
          <w:rStyle w:val="11"/>
          <w:rFonts w:ascii="Times New Roman" w:hAnsi="Times New Roman" w:cs="Times New Roman"/>
          <w:sz w:val="28"/>
          <w:szCs w:val="28"/>
          <w:u w:color="0563C1"/>
        </w:rPr>
        <w:tab/>
      </w:r>
      <w:r>
        <w:rPr>
          <w:rStyle w:val="11"/>
          <w:rFonts w:hint="eastAsia" w:ascii="Times New Roman" w:hAnsi="Times New Roman" w:cs="Times New Roman"/>
          <w:sz w:val="28"/>
          <w:szCs w:val="28"/>
          <w:u w:color="0563C1"/>
          <w:lang w:val="en-US" w:eastAsia="zh-CN"/>
        </w:rPr>
        <w:t>3</w:t>
      </w:r>
      <w:bookmarkStart w:id="0" w:name="_GoBack"/>
      <w:bookmarkEnd w:id="0"/>
    </w:p>
    <w:p>
      <w:pPr>
        <w:pStyle w:val="40"/>
        <w:spacing w:before="156"/>
        <w:ind w:firstLine="200"/>
        <w:rPr>
          <w:rStyle w:val="11"/>
          <w:rFonts w:cs="Times New Roman"/>
          <w:sz w:val="28"/>
          <w:szCs w:val="28"/>
          <w:u w:color="0563C1"/>
        </w:rPr>
      </w:pPr>
    </w:p>
    <w:p>
      <w:pPr>
        <w:spacing w:before="156"/>
        <w:ind w:firstLineChars="0"/>
        <w:rPr>
          <w:rStyle w:val="21"/>
          <w:rFonts w:ascii="Times New Roman" w:hAnsi="Times New Roman"/>
        </w:rPr>
      </w:pPr>
    </w:p>
    <w:p>
      <w:pPr>
        <w:spacing w:before="156"/>
        <w:ind w:firstLineChars="0"/>
        <w:rPr>
          <w:rStyle w:val="21"/>
          <w:rFonts w:ascii="Times New Roman" w:hAnsi="Times New Roman"/>
        </w:rPr>
      </w:pPr>
    </w:p>
    <w:p>
      <w:pPr>
        <w:spacing w:before="156"/>
        <w:ind w:firstLine="199" w:firstLineChars="83"/>
        <w:rPr>
          <w:rStyle w:val="21"/>
          <w:rFonts w:ascii="Times New Roman" w:hAnsi="Times New Roman"/>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spacing w:before="156"/>
        <w:ind w:firstLine="232" w:firstLineChars="83"/>
        <w:rPr>
          <w:rStyle w:val="21"/>
          <w:sz w:val="28"/>
          <w:szCs w:val="24"/>
        </w:rPr>
      </w:pPr>
      <w:r>
        <w:rPr>
          <w:rStyle w:val="21"/>
          <w:sz w:val="28"/>
          <w:szCs w:val="24"/>
        </w:rPr>
        <w:t>1项目背景</w:t>
      </w:r>
    </w:p>
    <w:p>
      <w:pPr>
        <w:spacing w:before="156" w:line="276" w:lineRule="auto"/>
        <w:ind w:firstLine="560"/>
        <w:jc w:val="left"/>
        <w:rPr>
          <w:rStyle w:val="21"/>
          <w:rFonts w:ascii="Times New Roman" w:hAnsi="Times New Roman"/>
          <w:sz w:val="28"/>
          <w:szCs w:val="28"/>
        </w:rPr>
      </w:pPr>
      <w:r>
        <w:rPr>
          <w:rStyle w:val="21"/>
          <w:rFonts w:ascii="Times New Roman" w:hAnsi="Times New Roman"/>
          <w:sz w:val="28"/>
          <w:szCs w:val="28"/>
        </w:rPr>
        <w:t>依据《关于加强挥发性有机物监测工作的通知》（环办监测函〔2020〕335号）和《2021年国家生态环境监测方案（环办监测函〔2021〕88号）》中关于“开展在用VOCs监测标气质量核查”的明确要求，为了解和掌握当前各实验室及其自动站在用非甲烷总烃标准气体生产厂商的市售标准气体量值准确性，从量值“源头”确保环境空气挥发性有机物监测数据质量，推动监测数据质量的持续改进。我站将组织开展2021非甲烷总烃标准气体量值比对测试项目。对来源不同厂家的不同浓度水平的非甲烷总烃标准气体进行量值比对测试、结果收集及统计分析技术服务，现向社会公开征集具有相应资质且具备相应履约能力的承接单位。</w:t>
      </w:r>
    </w:p>
    <w:p>
      <w:pPr>
        <w:pStyle w:val="12"/>
        <w:spacing w:before="156"/>
        <w:ind w:left="0"/>
        <w:rPr>
          <w:rStyle w:val="21"/>
        </w:rPr>
      </w:pPr>
      <w:r>
        <w:rPr>
          <w:rStyle w:val="21"/>
        </w:rPr>
        <w:t>2项目需求</w:t>
      </w:r>
    </w:p>
    <w:p>
      <w:pPr>
        <w:pStyle w:val="13"/>
        <w:numPr>
          <w:ilvl w:val="0"/>
          <w:numId w:val="0"/>
        </w:numPr>
        <w:snapToGrid w:val="0"/>
        <w:spacing w:before="312" w:beforeAutospacing="1" w:after="312" w:afterAutospacing="1"/>
        <w:rPr>
          <w:rStyle w:val="21"/>
          <w:rFonts w:ascii="Times New Roman" w:hAnsi="Times New Roman"/>
        </w:rPr>
      </w:pPr>
      <w:r>
        <w:rPr>
          <w:rStyle w:val="21"/>
          <w:rFonts w:ascii="Times New Roman" w:hAnsi="Times New Roman"/>
        </w:rPr>
        <w:t>2.1 项目内容要求</w:t>
      </w:r>
    </w:p>
    <w:p>
      <w:pPr>
        <w:tabs>
          <w:tab w:val="left" w:pos="1560"/>
        </w:tabs>
        <w:snapToGrid w:val="0"/>
        <w:spacing w:before="0"/>
        <w:ind w:firstLine="560"/>
        <w:rPr>
          <w:rStyle w:val="21"/>
          <w:rFonts w:ascii="Times New Roman" w:hAnsi="Times New Roman"/>
          <w:sz w:val="28"/>
          <w:szCs w:val="28"/>
        </w:rPr>
      </w:pPr>
      <w:r>
        <w:rPr>
          <w:rStyle w:val="21"/>
          <w:rFonts w:ascii="Times New Roman" w:hAnsi="Times New Roman"/>
          <w:sz w:val="28"/>
          <w:szCs w:val="28"/>
        </w:rPr>
        <w:t>本项目内容依据我站制定的非甲烷总烃标准气体量值比对测试方案，提供非甲烷总烃标准气体量值比对测试全流程技术服务，具体包括：</w:t>
      </w:r>
    </w:p>
    <w:p>
      <w:pPr>
        <w:pStyle w:val="2"/>
        <w:spacing w:before="0" w:after="0"/>
        <w:ind w:firstLine="560"/>
        <w:rPr>
          <w:rStyle w:val="21"/>
          <w:rFonts w:ascii="Times New Roman" w:hAnsi="Times New Roman"/>
          <w:sz w:val="28"/>
          <w:szCs w:val="28"/>
        </w:rPr>
      </w:pPr>
      <w:r>
        <w:rPr>
          <w:rStyle w:val="21"/>
          <w:rFonts w:ascii="Times New Roman" w:hAnsi="Times New Roman"/>
          <w:sz w:val="28"/>
          <w:szCs w:val="28"/>
        </w:rPr>
        <w:t>1. 测试方案（包含有测试方法、</w:t>
      </w:r>
      <w:r>
        <w:rPr>
          <w:rStyle w:val="21"/>
          <w:rFonts w:hint="eastAsia" w:ascii="Times New Roman" w:hAnsi="Times New Roman"/>
          <w:sz w:val="28"/>
          <w:szCs w:val="28"/>
        </w:rPr>
        <w:t>质控方案、</w:t>
      </w:r>
      <w:r>
        <w:rPr>
          <w:rStyle w:val="21"/>
          <w:rFonts w:ascii="Times New Roman" w:hAnsi="Times New Roman"/>
          <w:sz w:val="28"/>
          <w:szCs w:val="28"/>
        </w:rPr>
        <w:t>评价方法</w:t>
      </w:r>
      <w:r>
        <w:rPr>
          <w:rStyle w:val="21"/>
          <w:rFonts w:hint="eastAsia" w:ascii="Times New Roman" w:hAnsi="Times New Roman"/>
          <w:sz w:val="28"/>
          <w:szCs w:val="28"/>
        </w:rPr>
        <w:t>等</w:t>
      </w:r>
      <w:r>
        <w:rPr>
          <w:rStyle w:val="21"/>
          <w:rFonts w:ascii="Times New Roman" w:hAnsi="Times New Roman"/>
          <w:sz w:val="28"/>
          <w:szCs w:val="28"/>
        </w:rPr>
        <w:t>）；</w:t>
      </w:r>
    </w:p>
    <w:p>
      <w:pPr>
        <w:pStyle w:val="2"/>
        <w:spacing w:before="0" w:after="0"/>
        <w:ind w:firstLine="560"/>
        <w:rPr>
          <w:rStyle w:val="21"/>
          <w:rFonts w:ascii="Times New Roman" w:hAnsi="Times New Roman"/>
          <w:sz w:val="28"/>
          <w:szCs w:val="28"/>
        </w:rPr>
      </w:pPr>
      <w:r>
        <w:rPr>
          <w:rStyle w:val="21"/>
          <w:rFonts w:ascii="Times New Roman" w:hAnsi="Times New Roman"/>
          <w:sz w:val="28"/>
          <w:szCs w:val="28"/>
        </w:rPr>
        <w:t xml:space="preserve">2. </w:t>
      </w:r>
      <w:r>
        <w:rPr>
          <w:rFonts w:hint="eastAsia" w:ascii="Times New Roman" w:hAnsi="Times New Roman"/>
          <w:sz w:val="28"/>
          <w:szCs w:val="28"/>
        </w:rPr>
        <w:t>开展市售15个品牌</w:t>
      </w:r>
      <w:r>
        <w:rPr>
          <w:rStyle w:val="21"/>
          <w:rFonts w:ascii="Times New Roman" w:hAnsi="Times New Roman"/>
          <w:sz w:val="28"/>
          <w:szCs w:val="28"/>
        </w:rPr>
        <w:t>非甲烷总烃标准气体的测试；</w:t>
      </w:r>
    </w:p>
    <w:p>
      <w:pPr>
        <w:pStyle w:val="2"/>
        <w:spacing w:before="0" w:after="0"/>
        <w:ind w:firstLine="560"/>
        <w:rPr>
          <w:rStyle w:val="21"/>
          <w:rFonts w:ascii="Times New Roman" w:hAnsi="Times New Roman"/>
          <w:sz w:val="28"/>
          <w:szCs w:val="28"/>
        </w:rPr>
      </w:pPr>
      <w:r>
        <w:rPr>
          <w:rStyle w:val="21"/>
          <w:rFonts w:ascii="Times New Roman" w:hAnsi="Times New Roman"/>
          <w:sz w:val="28"/>
          <w:szCs w:val="28"/>
        </w:rPr>
        <w:t>3. 测试结果统计、分析及评价；</w:t>
      </w:r>
    </w:p>
    <w:p>
      <w:pPr>
        <w:pStyle w:val="2"/>
        <w:spacing w:before="0" w:after="0"/>
        <w:ind w:firstLine="560"/>
        <w:rPr>
          <w:rStyle w:val="21"/>
          <w:rFonts w:ascii="Times New Roman" w:hAnsi="Times New Roman"/>
          <w:sz w:val="28"/>
          <w:szCs w:val="28"/>
        </w:rPr>
      </w:pPr>
      <w:r>
        <w:rPr>
          <w:rStyle w:val="21"/>
          <w:rFonts w:ascii="Times New Roman" w:hAnsi="Times New Roman"/>
          <w:sz w:val="28"/>
          <w:szCs w:val="28"/>
        </w:rPr>
        <w:t>4. 测试报告（包含测试方法、测试结果及不确定度、结果评价）</w:t>
      </w:r>
    </w:p>
    <w:p>
      <w:pPr>
        <w:pStyle w:val="13"/>
        <w:numPr>
          <w:ilvl w:val="0"/>
          <w:numId w:val="0"/>
        </w:numPr>
        <w:snapToGrid w:val="0"/>
        <w:spacing w:before="312" w:beforeAutospacing="1" w:after="312" w:afterAutospacing="1"/>
        <w:rPr>
          <w:rStyle w:val="21"/>
          <w:rFonts w:ascii="Times New Roman" w:hAnsi="Times New Roman"/>
        </w:rPr>
      </w:pPr>
      <w:r>
        <w:rPr>
          <w:rStyle w:val="21"/>
          <w:rFonts w:ascii="Times New Roman" w:hAnsi="Times New Roman"/>
        </w:rPr>
        <w:t>2.2技术服务要求</w:t>
      </w:r>
    </w:p>
    <w:p>
      <w:pPr>
        <w:snapToGrid w:val="0"/>
        <w:spacing w:before="0"/>
        <w:ind w:firstLine="560"/>
        <w:rPr>
          <w:rStyle w:val="21"/>
          <w:rFonts w:ascii="Times New Roman" w:hAnsi="Times New Roman"/>
          <w:sz w:val="28"/>
          <w:szCs w:val="28"/>
        </w:rPr>
      </w:pPr>
      <w:r>
        <w:rPr>
          <w:rStyle w:val="21"/>
          <w:rFonts w:ascii="Times New Roman" w:hAnsi="Times New Roman"/>
          <w:sz w:val="28"/>
          <w:szCs w:val="28"/>
        </w:rPr>
        <w:t xml:space="preserve">1. </w:t>
      </w:r>
      <w:r>
        <w:rPr>
          <w:rFonts w:hint="eastAsia" w:ascii="Times New Roman" w:hAnsi="Times New Roman"/>
          <w:sz w:val="28"/>
          <w:szCs w:val="28"/>
        </w:rPr>
        <w:t>提供用作量值比对参考标准的标准气体，</w:t>
      </w:r>
      <w:r>
        <w:rPr>
          <w:rStyle w:val="21"/>
          <w:rFonts w:ascii="Times New Roman" w:hAnsi="Times New Roman"/>
          <w:sz w:val="28"/>
          <w:szCs w:val="28"/>
        </w:rPr>
        <w:t>测量参考标准应为有证国家标准物质/样品。</w:t>
      </w:r>
    </w:p>
    <w:p>
      <w:pPr>
        <w:snapToGrid w:val="0"/>
        <w:spacing w:before="0"/>
        <w:ind w:firstLine="560"/>
        <w:rPr>
          <w:rStyle w:val="21"/>
          <w:rFonts w:ascii="Times New Roman" w:hAnsi="Times New Roman"/>
          <w:sz w:val="28"/>
          <w:szCs w:val="28"/>
        </w:rPr>
      </w:pPr>
      <w:r>
        <w:rPr>
          <w:rStyle w:val="21"/>
          <w:rFonts w:ascii="Times New Roman" w:hAnsi="Times New Roman"/>
          <w:sz w:val="28"/>
          <w:szCs w:val="28"/>
        </w:rPr>
        <w:t>2. 在比对测试期内，比对测试服务实验室应按要求按时完成标气比对测试工作</w:t>
      </w:r>
      <w:r>
        <w:rPr>
          <w:rStyle w:val="21"/>
          <w:rFonts w:hint="eastAsia" w:ascii="Times New Roman" w:hAnsi="Times New Roman"/>
          <w:sz w:val="28"/>
          <w:szCs w:val="28"/>
        </w:rPr>
        <w:t>，</w:t>
      </w:r>
      <w:r>
        <w:rPr>
          <w:rStyle w:val="21"/>
          <w:rFonts w:ascii="Times New Roman" w:hAnsi="Times New Roman"/>
          <w:sz w:val="28"/>
          <w:szCs w:val="28"/>
        </w:rPr>
        <w:t>包括但不限于</w:t>
      </w:r>
      <w:r>
        <w:rPr>
          <w:rStyle w:val="21"/>
          <w:rFonts w:hint="eastAsia" w:ascii="Times New Roman" w:hAnsi="Times New Roman"/>
          <w:sz w:val="28"/>
          <w:szCs w:val="28"/>
        </w:rPr>
        <w:t>：</w:t>
      </w:r>
      <w:r>
        <w:rPr>
          <w:rStyle w:val="21"/>
          <w:rFonts w:ascii="Times New Roman" w:hAnsi="Times New Roman"/>
          <w:sz w:val="28"/>
          <w:szCs w:val="28"/>
        </w:rPr>
        <w:t>建立非甲烷总烃测试方法</w:t>
      </w:r>
      <w:r>
        <w:rPr>
          <w:rStyle w:val="21"/>
          <w:rFonts w:hint="eastAsia" w:ascii="Times New Roman" w:hAnsi="Times New Roman"/>
          <w:sz w:val="28"/>
          <w:szCs w:val="28"/>
        </w:rPr>
        <w:t>，</w:t>
      </w:r>
      <w:r>
        <w:rPr>
          <w:rStyle w:val="21"/>
          <w:rFonts w:ascii="Times New Roman" w:hAnsi="Times New Roman"/>
          <w:sz w:val="28"/>
          <w:szCs w:val="28"/>
        </w:rPr>
        <w:t>验证方法性能</w:t>
      </w:r>
      <w:r>
        <w:rPr>
          <w:rStyle w:val="21"/>
          <w:rFonts w:hint="eastAsia" w:ascii="Times New Roman" w:hAnsi="Times New Roman"/>
          <w:sz w:val="28"/>
          <w:szCs w:val="28"/>
        </w:rPr>
        <w:t>；</w:t>
      </w:r>
      <w:r>
        <w:rPr>
          <w:rStyle w:val="21"/>
          <w:rFonts w:ascii="Times New Roman" w:hAnsi="Times New Roman"/>
          <w:sz w:val="28"/>
          <w:szCs w:val="28"/>
        </w:rPr>
        <w:t>开展不少于</w:t>
      </w:r>
      <w:r>
        <w:rPr>
          <w:rStyle w:val="21"/>
          <w:rFonts w:hint="eastAsia" w:ascii="Times New Roman" w:hAnsi="Times New Roman"/>
          <w:sz w:val="28"/>
          <w:szCs w:val="28"/>
        </w:rPr>
        <w:t>1</w:t>
      </w:r>
      <w:r>
        <w:rPr>
          <w:rStyle w:val="21"/>
          <w:rFonts w:ascii="Times New Roman" w:hAnsi="Times New Roman"/>
          <w:sz w:val="28"/>
          <w:szCs w:val="28"/>
        </w:rPr>
        <w:t>5瓶非甲烷总烃标准气体的量值测试</w:t>
      </w:r>
      <w:r>
        <w:rPr>
          <w:rStyle w:val="21"/>
          <w:rFonts w:hint="eastAsia" w:ascii="Times New Roman" w:hAnsi="Times New Roman"/>
          <w:sz w:val="28"/>
          <w:szCs w:val="28"/>
        </w:rPr>
        <w:t>；</w:t>
      </w:r>
      <w:r>
        <w:rPr>
          <w:rStyle w:val="21"/>
          <w:rFonts w:ascii="Times New Roman" w:hAnsi="Times New Roman"/>
          <w:sz w:val="28"/>
          <w:szCs w:val="28"/>
        </w:rPr>
        <w:t>按测试质控方案开展质控测试</w:t>
      </w:r>
      <w:r>
        <w:rPr>
          <w:rStyle w:val="21"/>
          <w:rFonts w:hint="eastAsia" w:ascii="Times New Roman" w:hAnsi="Times New Roman"/>
          <w:sz w:val="28"/>
          <w:szCs w:val="28"/>
        </w:rPr>
        <w:t>，</w:t>
      </w:r>
      <w:r>
        <w:rPr>
          <w:rStyle w:val="21"/>
          <w:rFonts w:ascii="Times New Roman" w:hAnsi="Times New Roman"/>
          <w:sz w:val="28"/>
          <w:szCs w:val="28"/>
        </w:rPr>
        <w:t>如</w:t>
      </w:r>
      <w:r>
        <w:rPr>
          <w:rStyle w:val="21"/>
          <w:rFonts w:hint="eastAsia" w:ascii="Times New Roman" w:hAnsi="Times New Roman"/>
          <w:sz w:val="28"/>
          <w:szCs w:val="28"/>
        </w:rPr>
        <w:t>：</w:t>
      </w:r>
      <w:r>
        <w:rPr>
          <w:rStyle w:val="21"/>
          <w:rFonts w:ascii="Times New Roman" w:hAnsi="Times New Roman"/>
          <w:sz w:val="28"/>
          <w:szCs w:val="28"/>
        </w:rPr>
        <w:t>测试前和每次测试</w:t>
      </w:r>
      <w:r>
        <w:rPr>
          <w:rStyle w:val="21"/>
          <w:rFonts w:hint="eastAsia" w:ascii="Times New Roman" w:hAnsi="Times New Roman"/>
          <w:sz w:val="28"/>
          <w:szCs w:val="28"/>
        </w:rPr>
        <w:t>6瓶次待测标气后测试一次中心标气等；对测试结果进行统计分析，核实确认其有效性等</w:t>
      </w:r>
      <w:r>
        <w:rPr>
          <w:rStyle w:val="21"/>
          <w:rFonts w:ascii="Times New Roman" w:hAnsi="Times New Roman"/>
          <w:sz w:val="28"/>
          <w:szCs w:val="28"/>
        </w:rPr>
        <w:t>。</w:t>
      </w:r>
    </w:p>
    <w:p>
      <w:pPr>
        <w:snapToGrid w:val="0"/>
        <w:spacing w:before="0"/>
        <w:ind w:firstLine="560"/>
        <w:rPr>
          <w:rStyle w:val="21"/>
          <w:rFonts w:ascii="Times New Roman" w:hAnsi="Times New Roman"/>
          <w:sz w:val="28"/>
          <w:szCs w:val="28"/>
        </w:rPr>
      </w:pPr>
      <w:r>
        <w:rPr>
          <w:rStyle w:val="21"/>
          <w:rFonts w:ascii="Times New Roman" w:hAnsi="Times New Roman"/>
          <w:sz w:val="28"/>
          <w:szCs w:val="28"/>
        </w:rPr>
        <w:t>3.</w:t>
      </w:r>
      <w:r>
        <w:rPr>
          <w:rStyle w:val="21"/>
        </w:rPr>
        <w:t xml:space="preserve"> </w:t>
      </w:r>
      <w:r>
        <w:rPr>
          <w:rStyle w:val="21"/>
          <w:rFonts w:ascii="Times New Roman" w:hAnsi="Times New Roman"/>
          <w:sz w:val="28"/>
          <w:szCs w:val="28"/>
        </w:rPr>
        <w:t>在比对测试期内，比对测试服务实验室应安排至少一名固定的技术人员在项目关键阶段专职投入本项目中。</w:t>
      </w:r>
    </w:p>
    <w:p>
      <w:pPr>
        <w:snapToGrid w:val="0"/>
        <w:spacing w:before="0"/>
        <w:ind w:firstLine="560"/>
        <w:rPr>
          <w:rStyle w:val="21"/>
          <w:rFonts w:ascii="Times New Roman" w:hAnsi="Times New Roman"/>
          <w:color w:val="FF0000"/>
          <w:sz w:val="28"/>
          <w:szCs w:val="28"/>
        </w:rPr>
      </w:pPr>
      <w:r>
        <w:rPr>
          <w:rStyle w:val="21"/>
          <w:rFonts w:ascii="Times New Roman" w:hAnsi="Times New Roman"/>
          <w:sz w:val="28"/>
          <w:szCs w:val="28"/>
        </w:rPr>
        <w:t>4.</w:t>
      </w:r>
      <w:r>
        <w:rPr>
          <w:rStyle w:val="21"/>
        </w:rPr>
        <w:t xml:space="preserve"> </w:t>
      </w:r>
      <w:r>
        <w:rPr>
          <w:rStyle w:val="21"/>
          <w:rFonts w:ascii="Times New Roman" w:hAnsi="Times New Roman"/>
          <w:sz w:val="28"/>
          <w:szCs w:val="28"/>
        </w:rPr>
        <w:t>在比对测试期内，比对测试服务实验室应对标气比对测试工作提供技术支持，保证比对测试工作顺利进行，保证比对测试的质量。</w:t>
      </w:r>
      <w:r>
        <w:rPr>
          <w:rStyle w:val="21"/>
          <w:rFonts w:ascii="Times New Roman" w:hAnsi="Times New Roman"/>
          <w:color w:val="000000"/>
          <w:sz w:val="28"/>
          <w:szCs w:val="28"/>
        </w:rPr>
        <w:t>技术问题的响应时间不超过2小时，问题的解决时间原则上自问题提出之日起不超过2日。</w:t>
      </w:r>
    </w:p>
    <w:p>
      <w:pPr>
        <w:pStyle w:val="13"/>
        <w:numPr>
          <w:ilvl w:val="0"/>
          <w:numId w:val="0"/>
        </w:numPr>
        <w:snapToGrid w:val="0"/>
        <w:spacing w:before="312" w:beforeAutospacing="1" w:after="312" w:afterAutospacing="1"/>
        <w:rPr>
          <w:rStyle w:val="21"/>
          <w:rFonts w:ascii="Times New Roman" w:hAnsi="Times New Roman"/>
        </w:rPr>
      </w:pPr>
      <w:r>
        <w:rPr>
          <w:rStyle w:val="21"/>
          <w:rFonts w:ascii="Times New Roman" w:hAnsi="Times New Roman"/>
        </w:rPr>
        <w:t>2.3 技术服务商要求</w:t>
      </w:r>
    </w:p>
    <w:p>
      <w:pPr>
        <w:snapToGrid w:val="0"/>
        <w:spacing w:before="0"/>
        <w:ind w:firstLine="560"/>
        <w:rPr>
          <w:rStyle w:val="21"/>
          <w:rFonts w:ascii="Times New Roman" w:hAnsi="Times New Roman"/>
          <w:sz w:val="28"/>
          <w:szCs w:val="28"/>
        </w:rPr>
      </w:pPr>
      <w:r>
        <w:rPr>
          <w:rStyle w:val="21"/>
          <w:rFonts w:ascii="Times New Roman" w:hAnsi="Times New Roman"/>
          <w:sz w:val="28"/>
          <w:szCs w:val="28"/>
        </w:rPr>
        <w:t xml:space="preserve">1. </w:t>
      </w:r>
      <w:r>
        <w:rPr>
          <w:rStyle w:val="21"/>
          <w:rFonts w:hint="eastAsia" w:ascii="Times New Roman" w:hAnsi="Times New Roman"/>
          <w:sz w:val="28"/>
          <w:szCs w:val="28"/>
        </w:rPr>
        <w:t>比对测试</w:t>
      </w:r>
      <w:r>
        <w:rPr>
          <w:rStyle w:val="21"/>
          <w:rFonts w:ascii="Times New Roman" w:hAnsi="Times New Roman"/>
          <w:sz w:val="28"/>
          <w:szCs w:val="28"/>
        </w:rPr>
        <w:t>技术服实验室</w:t>
      </w:r>
      <w:r>
        <w:rPr>
          <w:rStyle w:val="21"/>
          <w:rFonts w:hint="eastAsia" w:ascii="Times New Roman" w:hAnsi="Times New Roman"/>
          <w:sz w:val="28"/>
          <w:szCs w:val="28"/>
        </w:rPr>
        <w:t>应通过CMA或CNAS相关资质认定；</w:t>
      </w:r>
    </w:p>
    <w:p>
      <w:pPr>
        <w:numPr>
          <w:ilvl w:val="0"/>
          <w:numId w:val="3"/>
        </w:numPr>
        <w:snapToGrid w:val="0"/>
        <w:spacing w:before="0"/>
        <w:ind w:firstLine="560"/>
        <w:rPr>
          <w:rStyle w:val="21"/>
          <w:rFonts w:ascii="Times New Roman" w:hAnsi="Times New Roman"/>
          <w:sz w:val="28"/>
          <w:szCs w:val="28"/>
        </w:rPr>
      </w:pPr>
      <w:r>
        <w:rPr>
          <w:rStyle w:val="21"/>
          <w:rFonts w:hint="eastAsia" w:ascii="Times New Roman" w:hAnsi="Times New Roman"/>
          <w:sz w:val="28"/>
          <w:szCs w:val="28"/>
        </w:rPr>
        <w:t>比对</w:t>
      </w:r>
      <w:r>
        <w:rPr>
          <w:rStyle w:val="21"/>
          <w:rFonts w:ascii="Times New Roman" w:hAnsi="Times New Roman"/>
          <w:sz w:val="28"/>
          <w:szCs w:val="28"/>
        </w:rPr>
        <w:t>测试技术服实验室应具有气体测试相关领域丰富的经验，承担过类似项目；</w:t>
      </w:r>
    </w:p>
    <w:p>
      <w:pPr>
        <w:snapToGrid w:val="0"/>
        <w:spacing w:before="0"/>
        <w:ind w:firstLine="560"/>
        <w:rPr>
          <w:rStyle w:val="21"/>
          <w:rFonts w:ascii="Times New Roman" w:hAnsi="Times New Roman"/>
          <w:sz w:val="28"/>
          <w:szCs w:val="28"/>
        </w:rPr>
      </w:pPr>
      <w:r>
        <w:rPr>
          <w:rStyle w:val="21"/>
          <w:rFonts w:hint="eastAsia" w:ascii="Times New Roman" w:hAnsi="Times New Roman"/>
          <w:sz w:val="28"/>
          <w:szCs w:val="28"/>
        </w:rPr>
        <w:t>3</w:t>
      </w:r>
      <w:r>
        <w:rPr>
          <w:rStyle w:val="21"/>
          <w:rFonts w:ascii="Times New Roman" w:hAnsi="Times New Roman"/>
          <w:sz w:val="28"/>
          <w:szCs w:val="28"/>
        </w:rPr>
        <w:t xml:space="preserve">. </w:t>
      </w:r>
      <w:r>
        <w:rPr>
          <w:rStyle w:val="21"/>
          <w:rFonts w:hint="eastAsia" w:ascii="Times New Roman" w:hAnsi="Times New Roman"/>
          <w:sz w:val="28"/>
          <w:szCs w:val="28"/>
        </w:rPr>
        <w:t>比对</w:t>
      </w:r>
      <w:r>
        <w:rPr>
          <w:rStyle w:val="21"/>
          <w:rFonts w:ascii="Times New Roman" w:hAnsi="Times New Roman"/>
          <w:sz w:val="28"/>
          <w:szCs w:val="28"/>
        </w:rPr>
        <w:t>测定技术服实验室应具备一定的科研实力和水平，</w:t>
      </w:r>
      <w:r>
        <w:rPr>
          <w:rStyle w:val="21"/>
          <w:rFonts w:hint="eastAsia" w:ascii="Times New Roman" w:hAnsi="Times New Roman"/>
          <w:sz w:val="28"/>
          <w:szCs w:val="28"/>
        </w:rPr>
        <w:t>有承担国家或省部级科研项目经历，</w:t>
      </w:r>
      <w:r>
        <w:rPr>
          <w:rStyle w:val="21"/>
          <w:rFonts w:ascii="Times New Roman" w:hAnsi="Times New Roman"/>
          <w:sz w:val="28"/>
          <w:szCs w:val="28"/>
        </w:rPr>
        <w:t>能够实现对非甲烷总烃标准气体测定比对全流程质量控制，能够数据的有效性。</w:t>
      </w:r>
    </w:p>
    <w:p>
      <w:pPr>
        <w:pStyle w:val="12"/>
        <w:spacing w:before="156"/>
        <w:ind w:left="0"/>
        <w:rPr>
          <w:rStyle w:val="21"/>
        </w:rPr>
      </w:pPr>
      <w:r>
        <w:rPr>
          <w:rStyle w:val="21"/>
        </w:rPr>
        <w:t>3技术支持与付费</w:t>
      </w:r>
    </w:p>
    <w:p>
      <w:pPr>
        <w:snapToGrid w:val="0"/>
        <w:spacing w:before="0"/>
        <w:ind w:firstLine="560"/>
        <w:rPr>
          <w:rStyle w:val="21"/>
          <w:rFonts w:ascii="Times New Roman" w:hAnsi="Times New Roman"/>
          <w:sz w:val="28"/>
          <w:szCs w:val="28"/>
        </w:rPr>
      </w:pPr>
      <w:r>
        <w:rPr>
          <w:rStyle w:val="21"/>
          <w:rFonts w:ascii="Times New Roman" w:hAnsi="Times New Roman"/>
          <w:sz w:val="28"/>
          <w:szCs w:val="28"/>
        </w:rPr>
        <w:t>合同签订后支付合同金额的80%，完成合同要求的全部工作后，支付合同剩余20%款项。</w:t>
      </w:r>
    </w:p>
    <w:p>
      <w:pPr>
        <w:pStyle w:val="12"/>
        <w:spacing w:before="156"/>
        <w:ind w:left="0"/>
        <w:rPr>
          <w:rStyle w:val="21"/>
        </w:rPr>
      </w:pPr>
      <w:r>
        <w:rPr>
          <w:rStyle w:val="21"/>
        </w:rPr>
        <w:t>4其他补充</w:t>
      </w:r>
    </w:p>
    <w:p>
      <w:pPr>
        <w:snapToGrid w:val="0"/>
        <w:spacing w:before="0"/>
        <w:ind w:firstLine="560"/>
        <w:rPr>
          <w:rStyle w:val="21"/>
          <w:rFonts w:ascii="Times New Roman" w:hAnsi="Times New Roman"/>
          <w:b/>
          <w:szCs w:val="24"/>
        </w:rPr>
      </w:pPr>
      <w:r>
        <w:rPr>
          <w:rStyle w:val="21"/>
          <w:rFonts w:ascii="Times New Roman" w:hAnsi="Times New Roman"/>
          <w:sz w:val="28"/>
          <w:szCs w:val="28"/>
        </w:rPr>
        <w:t>其它未尽事宜，均依照国家有关规定及相关规范执行。</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p>
    <w:pPr>
      <w:spacing w:before="120"/>
      <w:ind w:firstLine="480"/>
      <w:rPr>
        <w:rStyle w:val="21"/>
      </w:rPr>
    </w:pPr>
  </w:p>
  <w:p>
    <w:pPr>
      <w:spacing w:before="120"/>
      <w:ind w:firstLine="480"/>
      <w:rPr>
        <w:rStyle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spacing w:before="120"/>
                            <w:ind w:firstLine="360"/>
                            <w:rPr>
                              <w:rStyle w:val="21"/>
                            </w:rPr>
                          </w:pPr>
                        </w:p>
                        <w:p>
                          <w:pPr>
                            <w:ind w:firstLine="560"/>
                            <w:rPr>
                              <w:rStyle w:val="21"/>
                              <w:rFonts w:ascii="等线 Light" w:hAnsi="等线 Light" w:eastAsia="等线 Light" w:cs="Times New Roman"/>
                              <w:b/>
                              <w:bCs/>
                              <w:sz w:val="28"/>
                              <w:szCs w:val="28"/>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6"/>
                      <w:spacing w:before="120"/>
                      <w:ind w:firstLine="360"/>
                      <w:rPr>
                        <w:rStyle w:val="21"/>
                      </w:rPr>
                    </w:pPr>
                  </w:p>
                  <w:p>
                    <w:pPr>
                      <w:ind w:firstLine="560"/>
                      <w:rPr>
                        <w:rStyle w:val="21"/>
                        <w:rFonts w:ascii="等线 Light" w:hAnsi="等线 Light" w:eastAsia="等线 Light" w:cs="Times New Roman"/>
                        <w:b/>
                        <w:bCs/>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firstLine="480"/>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pStyle w:val="51"/>
      <w:lvlText w:val="%1)"/>
      <w:lvlJc w:val="left"/>
      <w:pPr>
        <w:widowControl/>
        <w:ind w:left="420" w:hanging="42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
    <w:nsid w:val="14AAB7E0"/>
    <w:multiLevelType w:val="singleLevel"/>
    <w:tmpl w:val="14AAB7E0"/>
    <w:lvl w:ilvl="0" w:tentative="0">
      <w:start w:val="2"/>
      <w:numFmt w:val="decimal"/>
      <w:suff w:val="space"/>
      <w:lvlText w:val="%1."/>
      <w:lvlJc w:val="left"/>
    </w:lvl>
  </w:abstractNum>
  <w:abstractNum w:abstractNumId="2">
    <w:nsid w:val="4DC97063"/>
    <w:multiLevelType w:val="multilevel"/>
    <w:tmpl w:val="4DC97063"/>
    <w:lvl w:ilvl="0" w:tentative="0">
      <w:start w:val="1"/>
      <w:numFmt w:val="decimal"/>
      <w:pStyle w:val="53"/>
      <w:lvlText w:val="%1"/>
      <w:lvlJc w:val="left"/>
      <w:pPr>
        <w:widowControl/>
        <w:ind w:left="432" w:hanging="432"/>
        <w:textAlignment w:val="baseline"/>
      </w:pPr>
    </w:lvl>
    <w:lvl w:ilvl="1" w:tentative="0">
      <w:start w:val="1"/>
      <w:numFmt w:val="decimal"/>
      <w:pStyle w:val="13"/>
      <w:lvlText w:val="%1.%2"/>
      <w:lvlJc w:val="left"/>
      <w:pPr>
        <w:widowControl/>
        <w:ind w:left="718" w:hanging="576"/>
        <w:textAlignment w:val="baseline"/>
      </w:pPr>
      <w:rPr>
        <w:rFonts w:ascii="Times New Roman" w:hAnsi="Times New Roman" w:eastAsia="黑体"/>
      </w:rPr>
    </w:lvl>
    <w:lvl w:ilvl="2" w:tentative="0">
      <w:start w:val="1"/>
      <w:numFmt w:val="decimal"/>
      <w:pStyle w:val="14"/>
      <w:lvlText w:val="%1.%2.%3"/>
      <w:lvlJc w:val="left"/>
      <w:pPr>
        <w:widowControl/>
        <w:ind w:left="1287" w:hanging="720"/>
        <w:textAlignment w:val="baseline"/>
      </w:pPr>
    </w:lvl>
    <w:lvl w:ilvl="3" w:tentative="0">
      <w:start w:val="1"/>
      <w:numFmt w:val="decimal"/>
      <w:pStyle w:val="15"/>
      <w:lvlText w:val="%1.%2.%3.%4"/>
      <w:lvlJc w:val="left"/>
      <w:pPr>
        <w:widowControl/>
        <w:ind w:left="864" w:hanging="864"/>
        <w:textAlignment w:val="baseline"/>
      </w:pPr>
    </w:lvl>
    <w:lvl w:ilvl="4" w:tentative="0">
      <w:start w:val="1"/>
      <w:numFmt w:val="decimal"/>
      <w:pStyle w:val="16"/>
      <w:lvlText w:val="%1.%2.%3.%4.%5"/>
      <w:lvlJc w:val="left"/>
      <w:pPr>
        <w:widowControl/>
        <w:ind w:left="1008" w:hanging="1008"/>
        <w:textAlignment w:val="baseline"/>
      </w:pPr>
    </w:lvl>
    <w:lvl w:ilvl="5" w:tentative="0">
      <w:start w:val="1"/>
      <w:numFmt w:val="decimal"/>
      <w:pStyle w:val="17"/>
      <w:lvlText w:val="%1.%2.%3.%4.%5.%6"/>
      <w:lvlJc w:val="left"/>
      <w:pPr>
        <w:widowControl/>
        <w:ind w:left="1152" w:hanging="1152"/>
        <w:textAlignment w:val="baseline"/>
      </w:pPr>
    </w:lvl>
    <w:lvl w:ilvl="6" w:tentative="0">
      <w:start w:val="1"/>
      <w:numFmt w:val="decimal"/>
      <w:pStyle w:val="18"/>
      <w:lvlText w:val="%1.%2.%3.%4.%5.%6.%7"/>
      <w:lvlJc w:val="left"/>
      <w:pPr>
        <w:widowControl/>
        <w:ind w:left="1296" w:hanging="1296"/>
        <w:textAlignment w:val="baseline"/>
      </w:pPr>
    </w:lvl>
    <w:lvl w:ilvl="7" w:tentative="0">
      <w:start w:val="1"/>
      <w:numFmt w:val="decimal"/>
      <w:pStyle w:val="19"/>
      <w:lvlText w:val="%1.%2.%3.%4.%5.%6.%7.%8"/>
      <w:lvlJc w:val="left"/>
      <w:pPr>
        <w:widowControl/>
        <w:ind w:left="1440" w:hanging="1440"/>
        <w:textAlignment w:val="baseline"/>
      </w:pPr>
    </w:lvl>
    <w:lvl w:ilvl="8" w:tentative="0">
      <w:start w:val="1"/>
      <w:numFmt w:val="decimal"/>
      <w:pStyle w:val="20"/>
      <w:lvlText w:val="%1.%2.%3.%4.%5.%6.%7.%8.%9"/>
      <w:lvlJc w:val="left"/>
      <w:pPr>
        <w:widowControl/>
        <w:ind w:left="1584" w:hanging="1584"/>
        <w:textAlignment w:val="baseline"/>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B2"/>
    <w:rsid w:val="002F6297"/>
    <w:rsid w:val="0045079E"/>
    <w:rsid w:val="00FA39B2"/>
    <w:rsid w:val="04A17212"/>
    <w:rsid w:val="0D310228"/>
    <w:rsid w:val="128439B4"/>
    <w:rsid w:val="243C1DE7"/>
    <w:rsid w:val="37C75FDA"/>
    <w:rsid w:val="3B7D734A"/>
    <w:rsid w:val="6816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before="50" w:line="360" w:lineRule="auto"/>
      <w:ind w:firstLine="200" w:firstLineChars="200"/>
      <w:jc w:val="both"/>
      <w:textAlignment w:val="baseline"/>
    </w:pPr>
    <w:rPr>
      <w:rFonts w:ascii="Calibri" w:hAnsi="Calibri" w:eastAsia="宋体" w:cstheme="minorBidi"/>
      <w:kern w:val="2"/>
      <w:sz w:val="24"/>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caption"/>
    <w:basedOn w:val="1"/>
    <w:next w:val="1"/>
    <w:qFormat/>
    <w:uiPriority w:val="0"/>
    <w:pPr>
      <w:spacing w:before="0" w:line="240" w:lineRule="auto"/>
      <w:ind w:firstLine="0" w:firstLineChars="0"/>
    </w:pPr>
    <w:rPr>
      <w:rFonts w:ascii="等线 Light" w:hAnsi="等线 Light" w:eastAsia="黑体"/>
      <w:sz w:val="20"/>
      <w:szCs w:val="20"/>
    </w:rPr>
  </w:style>
  <w:style w:type="paragraph" w:styleId="4">
    <w:name w:val="Date"/>
    <w:basedOn w:val="1"/>
    <w:next w:val="1"/>
    <w:link w:val="35"/>
    <w:qFormat/>
    <w:uiPriority w:val="0"/>
    <w:pPr>
      <w:ind w:left="100" w:leftChars="2500"/>
    </w:pPr>
  </w:style>
  <w:style w:type="paragraph" w:styleId="5">
    <w:name w:val="Balloon Text"/>
    <w:basedOn w:val="1"/>
    <w:link w:val="55"/>
    <w:qFormat/>
    <w:uiPriority w:val="0"/>
    <w:pPr>
      <w:spacing w:before="0" w:line="240" w:lineRule="auto"/>
    </w:pPr>
    <w:rPr>
      <w:sz w:val="18"/>
      <w:szCs w:val="18"/>
    </w:rPr>
  </w:style>
  <w:style w:type="paragraph" w:styleId="6">
    <w:name w:val="footer"/>
    <w:basedOn w:val="1"/>
    <w:link w:val="38"/>
    <w:qFormat/>
    <w:uiPriority w:val="0"/>
    <w:pPr>
      <w:tabs>
        <w:tab w:val="center" w:pos="4153"/>
        <w:tab w:val="right" w:pos="8306"/>
      </w:tabs>
      <w:snapToGrid w:val="0"/>
      <w:jc w:val="left"/>
    </w:pPr>
    <w:rPr>
      <w:sz w:val="18"/>
      <w:szCs w:val="18"/>
    </w:rPr>
  </w:style>
  <w:style w:type="paragraph" w:styleId="7">
    <w:name w:val="header"/>
    <w:basedOn w:val="1"/>
    <w:link w:val="39"/>
    <w:qFormat/>
    <w:uiPriority w:val="0"/>
    <w:pPr>
      <w:pBdr>
        <w:bottom w:val="single" w:color="000000" w:sz="6" w:space="1"/>
      </w:pBdr>
      <w:tabs>
        <w:tab w:val="center" w:pos="4153"/>
        <w:tab w:val="right" w:pos="8306"/>
      </w:tabs>
      <w:snapToGrid w:val="0"/>
      <w:jc w:val="center"/>
    </w:pPr>
    <w:rPr>
      <w:sz w:val="18"/>
      <w:szCs w:val="18"/>
    </w:rPr>
  </w:style>
  <w:style w:type="character" w:styleId="10">
    <w:name w:val="Emphasis"/>
    <w:qFormat/>
    <w:uiPriority w:val="0"/>
    <w:rPr>
      <w:i/>
      <w:iCs/>
    </w:rPr>
  </w:style>
  <w:style w:type="character" w:styleId="11">
    <w:name w:val="Hyperlink"/>
    <w:qFormat/>
    <w:uiPriority w:val="0"/>
    <w:rPr>
      <w:color w:val="0563C1"/>
      <w:u w:val="single"/>
    </w:rPr>
  </w:style>
  <w:style w:type="paragraph" w:customStyle="1" w:styleId="12">
    <w:name w:val="Heading1"/>
    <w:basedOn w:val="1"/>
    <w:next w:val="1"/>
    <w:link w:val="23"/>
    <w:qFormat/>
    <w:uiPriority w:val="0"/>
    <w:pPr>
      <w:keepNext/>
      <w:keepLines/>
      <w:ind w:left="432" w:firstLine="0" w:firstLineChars="0"/>
      <w:jc w:val="left"/>
    </w:pPr>
    <w:rPr>
      <w:rFonts w:ascii="Times New Roman" w:hAnsi="Times New Roman" w:eastAsia="黑体" w:cs="Calibri"/>
      <w:b/>
      <w:bCs/>
      <w:kern w:val="44"/>
      <w:sz w:val="32"/>
      <w:szCs w:val="32"/>
    </w:rPr>
  </w:style>
  <w:style w:type="paragraph" w:customStyle="1" w:styleId="13">
    <w:name w:val="Heading2"/>
    <w:basedOn w:val="1"/>
    <w:next w:val="1"/>
    <w:link w:val="24"/>
    <w:qFormat/>
    <w:uiPriority w:val="0"/>
    <w:pPr>
      <w:keepNext/>
      <w:keepLines/>
      <w:numPr>
        <w:ilvl w:val="1"/>
        <w:numId w:val="1"/>
      </w:numPr>
      <w:ind w:firstLine="0" w:firstLineChars="0"/>
      <w:jc w:val="left"/>
    </w:pPr>
    <w:rPr>
      <w:rFonts w:ascii="宋体" w:hAnsi="宋体" w:cs="Calibri"/>
      <w:b/>
      <w:bCs/>
      <w:sz w:val="32"/>
      <w:szCs w:val="30"/>
    </w:rPr>
  </w:style>
  <w:style w:type="paragraph" w:customStyle="1" w:styleId="14">
    <w:name w:val="Heading3"/>
    <w:basedOn w:val="1"/>
    <w:next w:val="1"/>
    <w:link w:val="25"/>
    <w:qFormat/>
    <w:uiPriority w:val="0"/>
    <w:pPr>
      <w:keepNext/>
      <w:keepLines/>
      <w:numPr>
        <w:ilvl w:val="2"/>
        <w:numId w:val="1"/>
      </w:numPr>
      <w:ind w:left="0" w:firstLine="0" w:firstLineChars="0"/>
      <w:jc w:val="left"/>
    </w:pPr>
    <w:rPr>
      <w:rFonts w:ascii="Times New Roman" w:hAnsi="Times New Roman" w:cs="Calibri"/>
      <w:b/>
      <w:bCs/>
      <w:sz w:val="28"/>
      <w:szCs w:val="28"/>
    </w:rPr>
  </w:style>
  <w:style w:type="paragraph" w:customStyle="1" w:styleId="15">
    <w:name w:val="Heading4"/>
    <w:basedOn w:val="1"/>
    <w:next w:val="1"/>
    <w:link w:val="26"/>
    <w:qFormat/>
    <w:uiPriority w:val="0"/>
    <w:pPr>
      <w:keepNext/>
      <w:keepLines/>
      <w:numPr>
        <w:ilvl w:val="3"/>
        <w:numId w:val="1"/>
      </w:numPr>
      <w:spacing w:before="280" w:after="290" w:line="376" w:lineRule="auto"/>
      <w:ind w:firstLine="200"/>
    </w:pPr>
    <w:rPr>
      <w:rFonts w:ascii="等线 Light" w:hAnsi="等线 Light" w:eastAsia="等线 Light" w:cs="Times New Roman"/>
      <w:b/>
      <w:bCs/>
      <w:sz w:val="28"/>
      <w:szCs w:val="28"/>
    </w:rPr>
  </w:style>
  <w:style w:type="paragraph" w:customStyle="1" w:styleId="16">
    <w:name w:val="Heading5"/>
    <w:basedOn w:val="1"/>
    <w:next w:val="1"/>
    <w:link w:val="27"/>
    <w:qFormat/>
    <w:uiPriority w:val="0"/>
    <w:pPr>
      <w:keepNext/>
      <w:keepLines/>
      <w:numPr>
        <w:ilvl w:val="4"/>
        <w:numId w:val="1"/>
      </w:numPr>
      <w:spacing w:before="280" w:after="290" w:line="376" w:lineRule="auto"/>
      <w:ind w:firstLine="200"/>
    </w:pPr>
    <w:rPr>
      <w:rFonts w:cs="Calibri"/>
      <w:b/>
      <w:bCs/>
      <w:sz w:val="28"/>
      <w:szCs w:val="28"/>
    </w:rPr>
  </w:style>
  <w:style w:type="paragraph" w:customStyle="1" w:styleId="17">
    <w:name w:val="Heading6"/>
    <w:basedOn w:val="1"/>
    <w:next w:val="1"/>
    <w:link w:val="28"/>
    <w:qFormat/>
    <w:uiPriority w:val="0"/>
    <w:pPr>
      <w:keepNext/>
      <w:keepLines/>
      <w:numPr>
        <w:ilvl w:val="5"/>
        <w:numId w:val="1"/>
      </w:numPr>
      <w:spacing w:before="240" w:after="64" w:line="320" w:lineRule="auto"/>
      <w:ind w:firstLine="200"/>
    </w:pPr>
    <w:rPr>
      <w:rFonts w:ascii="等线 Light" w:hAnsi="等线 Light" w:eastAsia="等线 Light" w:cs="Times New Roman"/>
      <w:b/>
      <w:bCs/>
      <w:szCs w:val="24"/>
    </w:rPr>
  </w:style>
  <w:style w:type="paragraph" w:customStyle="1" w:styleId="18">
    <w:name w:val="Heading7"/>
    <w:basedOn w:val="1"/>
    <w:next w:val="1"/>
    <w:link w:val="29"/>
    <w:qFormat/>
    <w:uiPriority w:val="0"/>
    <w:pPr>
      <w:keepNext/>
      <w:keepLines/>
      <w:numPr>
        <w:ilvl w:val="6"/>
        <w:numId w:val="1"/>
      </w:numPr>
      <w:spacing w:before="240" w:after="64" w:line="320" w:lineRule="auto"/>
      <w:ind w:firstLine="200"/>
    </w:pPr>
    <w:rPr>
      <w:rFonts w:cs="Calibri"/>
      <w:b/>
      <w:bCs/>
      <w:szCs w:val="24"/>
    </w:rPr>
  </w:style>
  <w:style w:type="paragraph" w:customStyle="1" w:styleId="19">
    <w:name w:val="Heading8"/>
    <w:basedOn w:val="1"/>
    <w:next w:val="1"/>
    <w:link w:val="30"/>
    <w:qFormat/>
    <w:uiPriority w:val="0"/>
    <w:pPr>
      <w:keepNext/>
      <w:keepLines/>
      <w:numPr>
        <w:ilvl w:val="7"/>
        <w:numId w:val="1"/>
      </w:numPr>
      <w:spacing w:before="240" w:after="64" w:line="320" w:lineRule="auto"/>
      <w:ind w:firstLine="200"/>
    </w:pPr>
    <w:rPr>
      <w:rFonts w:ascii="等线 Light" w:hAnsi="等线 Light" w:eastAsia="等线 Light"/>
      <w:szCs w:val="24"/>
    </w:rPr>
  </w:style>
  <w:style w:type="paragraph" w:customStyle="1" w:styleId="20">
    <w:name w:val="Heading9"/>
    <w:basedOn w:val="1"/>
    <w:next w:val="1"/>
    <w:link w:val="31"/>
    <w:qFormat/>
    <w:uiPriority w:val="0"/>
    <w:pPr>
      <w:keepNext/>
      <w:keepLines/>
      <w:numPr>
        <w:ilvl w:val="8"/>
        <w:numId w:val="1"/>
      </w:numPr>
      <w:spacing w:before="240" w:after="64" w:line="320" w:lineRule="auto"/>
      <w:ind w:firstLine="200"/>
    </w:pPr>
    <w:rPr>
      <w:rFonts w:ascii="等线 Light" w:hAnsi="等线 Light" w:eastAsia="等线 Light"/>
      <w:sz w:val="21"/>
      <w:szCs w:val="21"/>
    </w:rPr>
  </w:style>
  <w:style w:type="character" w:customStyle="1" w:styleId="21">
    <w:name w:val="NormalCharacter"/>
    <w:qFormat/>
    <w:uiPriority w:val="0"/>
  </w:style>
  <w:style w:type="table" w:customStyle="1" w:styleId="22">
    <w:name w:val="TableNormal"/>
    <w:qFormat/>
    <w:uiPriority w:val="0"/>
    <w:tblPr>
      <w:tblCellMar>
        <w:top w:w="0" w:type="dxa"/>
        <w:left w:w="0" w:type="dxa"/>
        <w:bottom w:w="0" w:type="dxa"/>
        <w:right w:w="0" w:type="dxa"/>
      </w:tblCellMar>
    </w:tblPr>
  </w:style>
  <w:style w:type="character" w:customStyle="1" w:styleId="23">
    <w:name w:val="UserStyle_0"/>
    <w:link w:val="12"/>
    <w:qFormat/>
    <w:uiPriority w:val="0"/>
    <w:rPr>
      <w:rFonts w:ascii="Times New Roman" w:hAnsi="Times New Roman" w:eastAsia="黑体" w:cs="Calibri"/>
      <w:b/>
      <w:bCs/>
      <w:kern w:val="44"/>
      <w:sz w:val="32"/>
      <w:szCs w:val="32"/>
    </w:rPr>
  </w:style>
  <w:style w:type="character" w:customStyle="1" w:styleId="24">
    <w:name w:val="UserStyle_1"/>
    <w:link w:val="13"/>
    <w:qFormat/>
    <w:uiPriority w:val="0"/>
    <w:rPr>
      <w:rFonts w:ascii="宋体" w:hAnsi="宋体" w:cs="Calibri"/>
      <w:b/>
      <w:bCs/>
      <w:kern w:val="2"/>
      <w:sz w:val="32"/>
      <w:szCs w:val="30"/>
    </w:rPr>
  </w:style>
  <w:style w:type="character" w:customStyle="1" w:styleId="25">
    <w:name w:val="UserStyle_2"/>
    <w:link w:val="14"/>
    <w:qFormat/>
    <w:uiPriority w:val="0"/>
    <w:rPr>
      <w:rFonts w:ascii="Times New Roman" w:hAnsi="Times New Roman" w:eastAsia="宋体" w:cs="Calibri"/>
      <w:b/>
      <w:bCs/>
      <w:sz w:val="28"/>
      <w:szCs w:val="28"/>
    </w:rPr>
  </w:style>
  <w:style w:type="character" w:customStyle="1" w:styleId="26">
    <w:name w:val="UserStyle_3"/>
    <w:link w:val="15"/>
    <w:semiHidden/>
    <w:qFormat/>
    <w:uiPriority w:val="0"/>
    <w:rPr>
      <w:rFonts w:ascii="等线 Light" w:hAnsi="等线 Light" w:eastAsia="等线 Light" w:cs="Times New Roman"/>
      <w:b/>
      <w:bCs/>
      <w:sz w:val="28"/>
      <w:szCs w:val="28"/>
    </w:rPr>
  </w:style>
  <w:style w:type="character" w:customStyle="1" w:styleId="27">
    <w:name w:val="UserStyle_4"/>
    <w:link w:val="16"/>
    <w:semiHidden/>
    <w:qFormat/>
    <w:uiPriority w:val="0"/>
    <w:rPr>
      <w:rFonts w:ascii="Times New Roman" w:hAnsi="Times New Roman" w:eastAsia="宋体" w:cs="Calibri"/>
      <w:b/>
      <w:bCs/>
      <w:sz w:val="28"/>
      <w:szCs w:val="28"/>
    </w:rPr>
  </w:style>
  <w:style w:type="character" w:customStyle="1" w:styleId="28">
    <w:name w:val="UserStyle_5"/>
    <w:link w:val="17"/>
    <w:semiHidden/>
    <w:qFormat/>
    <w:uiPriority w:val="0"/>
    <w:rPr>
      <w:rFonts w:ascii="等线 Light" w:hAnsi="等线 Light" w:eastAsia="等线 Light" w:cs="Times New Roman"/>
      <w:b/>
      <w:bCs/>
      <w:sz w:val="24"/>
      <w:szCs w:val="24"/>
    </w:rPr>
  </w:style>
  <w:style w:type="character" w:customStyle="1" w:styleId="29">
    <w:name w:val="UserStyle_6"/>
    <w:link w:val="18"/>
    <w:semiHidden/>
    <w:qFormat/>
    <w:uiPriority w:val="0"/>
    <w:rPr>
      <w:rFonts w:ascii="Times New Roman" w:hAnsi="Times New Roman" w:eastAsia="宋体" w:cs="Calibri"/>
      <w:b/>
      <w:bCs/>
      <w:sz w:val="24"/>
      <w:szCs w:val="24"/>
    </w:rPr>
  </w:style>
  <w:style w:type="character" w:customStyle="1" w:styleId="30">
    <w:name w:val="UserStyle_7"/>
    <w:link w:val="19"/>
    <w:semiHidden/>
    <w:qFormat/>
    <w:uiPriority w:val="0"/>
    <w:rPr>
      <w:rFonts w:ascii="等线 Light" w:hAnsi="等线 Light" w:eastAsia="等线 Light"/>
      <w:sz w:val="24"/>
      <w:szCs w:val="24"/>
    </w:rPr>
  </w:style>
  <w:style w:type="character" w:customStyle="1" w:styleId="31">
    <w:name w:val="UserStyle_8"/>
    <w:link w:val="20"/>
    <w:semiHidden/>
    <w:qFormat/>
    <w:uiPriority w:val="0"/>
    <w:rPr>
      <w:rFonts w:ascii="等线 Light" w:hAnsi="等线 Light" w:eastAsia="等线 Light"/>
      <w:szCs w:val="21"/>
    </w:rPr>
  </w:style>
  <w:style w:type="paragraph" w:customStyle="1" w:styleId="32">
    <w:name w:val="AnnotationText"/>
    <w:basedOn w:val="1"/>
    <w:link w:val="33"/>
    <w:qFormat/>
    <w:uiPriority w:val="0"/>
    <w:pPr>
      <w:jc w:val="left"/>
    </w:pPr>
  </w:style>
  <w:style w:type="character" w:customStyle="1" w:styleId="33">
    <w:name w:val="UserStyle_9"/>
    <w:link w:val="32"/>
    <w:qFormat/>
    <w:uiPriority w:val="0"/>
    <w:rPr>
      <w:rFonts w:ascii="Times New Roman" w:hAnsi="Times New Roman" w:eastAsia="宋体"/>
      <w:sz w:val="24"/>
    </w:rPr>
  </w:style>
  <w:style w:type="paragraph" w:customStyle="1" w:styleId="34">
    <w:name w:val="TOC3"/>
    <w:basedOn w:val="1"/>
    <w:next w:val="1"/>
    <w:qFormat/>
    <w:uiPriority w:val="0"/>
    <w:pPr>
      <w:spacing w:before="0"/>
      <w:ind w:left="400" w:leftChars="400" w:firstLine="0" w:firstLineChars="0"/>
    </w:pPr>
    <w:rPr>
      <w:sz w:val="21"/>
    </w:rPr>
  </w:style>
  <w:style w:type="character" w:customStyle="1" w:styleId="35">
    <w:name w:val="日期 Char"/>
    <w:link w:val="4"/>
    <w:semiHidden/>
    <w:qFormat/>
    <w:uiPriority w:val="0"/>
    <w:rPr>
      <w:kern w:val="2"/>
      <w:sz w:val="24"/>
      <w:szCs w:val="22"/>
    </w:rPr>
  </w:style>
  <w:style w:type="paragraph" w:customStyle="1" w:styleId="36">
    <w:name w:val="Acetate"/>
    <w:basedOn w:val="1"/>
    <w:link w:val="37"/>
    <w:qFormat/>
    <w:uiPriority w:val="0"/>
    <w:pPr>
      <w:spacing w:before="0" w:line="240" w:lineRule="auto"/>
    </w:pPr>
    <w:rPr>
      <w:sz w:val="18"/>
      <w:szCs w:val="18"/>
    </w:rPr>
  </w:style>
  <w:style w:type="character" w:customStyle="1" w:styleId="37">
    <w:name w:val="UserStyle_11"/>
    <w:link w:val="36"/>
    <w:semiHidden/>
    <w:qFormat/>
    <w:uiPriority w:val="0"/>
    <w:rPr>
      <w:rFonts w:ascii="Times New Roman" w:hAnsi="Times New Roman" w:eastAsia="宋体"/>
      <w:sz w:val="18"/>
      <w:szCs w:val="18"/>
    </w:rPr>
  </w:style>
  <w:style w:type="character" w:customStyle="1" w:styleId="38">
    <w:name w:val="页脚 Char"/>
    <w:link w:val="6"/>
    <w:qFormat/>
    <w:uiPriority w:val="0"/>
    <w:rPr>
      <w:sz w:val="18"/>
      <w:szCs w:val="18"/>
    </w:rPr>
  </w:style>
  <w:style w:type="character" w:customStyle="1" w:styleId="39">
    <w:name w:val="页眉 Char"/>
    <w:link w:val="7"/>
    <w:qFormat/>
    <w:uiPriority w:val="0"/>
    <w:rPr>
      <w:sz w:val="18"/>
      <w:szCs w:val="18"/>
    </w:rPr>
  </w:style>
  <w:style w:type="paragraph" w:customStyle="1" w:styleId="40">
    <w:name w:val="TOC1"/>
    <w:basedOn w:val="1"/>
    <w:next w:val="1"/>
    <w:qFormat/>
    <w:uiPriority w:val="0"/>
    <w:pPr>
      <w:tabs>
        <w:tab w:val="left" w:pos="567"/>
        <w:tab w:val="right" w:leader="dot" w:pos="8296"/>
      </w:tabs>
      <w:spacing w:before="0"/>
      <w:ind w:firstLine="0" w:firstLineChars="0"/>
    </w:pPr>
    <w:rPr>
      <w:b/>
      <w:sz w:val="21"/>
    </w:rPr>
  </w:style>
  <w:style w:type="paragraph" w:customStyle="1" w:styleId="41">
    <w:name w:val="TOC2"/>
    <w:basedOn w:val="1"/>
    <w:next w:val="1"/>
    <w:qFormat/>
    <w:uiPriority w:val="0"/>
    <w:pPr>
      <w:spacing w:before="0"/>
      <w:ind w:left="200" w:leftChars="200" w:firstLine="0" w:firstLineChars="0"/>
    </w:pPr>
    <w:rPr>
      <w:sz w:val="21"/>
    </w:rPr>
  </w:style>
  <w:style w:type="paragraph" w:customStyle="1" w:styleId="42">
    <w:name w:val="AnnotationSubject"/>
    <w:basedOn w:val="32"/>
    <w:next w:val="32"/>
    <w:link w:val="43"/>
    <w:qFormat/>
    <w:uiPriority w:val="0"/>
    <w:rPr>
      <w:rFonts w:cs="Calibri"/>
      <w:b/>
      <w:bCs/>
    </w:rPr>
  </w:style>
  <w:style w:type="character" w:customStyle="1" w:styleId="43">
    <w:name w:val="UserStyle_14"/>
    <w:link w:val="42"/>
    <w:semiHidden/>
    <w:qFormat/>
    <w:uiPriority w:val="0"/>
    <w:rPr>
      <w:rFonts w:ascii="Times New Roman" w:hAnsi="Times New Roman" w:eastAsia="宋体" w:cs="Calibri"/>
      <w:b/>
      <w:bCs/>
      <w:sz w:val="24"/>
    </w:rPr>
  </w:style>
  <w:style w:type="table" w:customStyle="1" w:styleId="44">
    <w:name w:val="TableGrid"/>
    <w:basedOn w:val="22"/>
    <w:qFormat/>
    <w:uiPriority w:val="0"/>
    <w:tblPr>
      <w:tblCellMar>
        <w:top w:w="0" w:type="dxa"/>
        <w:left w:w="0" w:type="dxa"/>
        <w:bottom w:w="0" w:type="dxa"/>
        <w:right w:w="0" w:type="dxa"/>
      </w:tblCellMar>
    </w:tblPr>
  </w:style>
  <w:style w:type="character" w:customStyle="1" w:styleId="45">
    <w:name w:val="AnnotationReference"/>
    <w:qFormat/>
    <w:uiPriority w:val="0"/>
    <w:rPr>
      <w:sz w:val="21"/>
      <w:szCs w:val="21"/>
    </w:rPr>
  </w:style>
  <w:style w:type="character" w:customStyle="1" w:styleId="46">
    <w:name w:val="UserStyle_15"/>
    <w:qFormat/>
    <w:uiPriority w:val="0"/>
  </w:style>
  <w:style w:type="character" w:customStyle="1" w:styleId="47">
    <w:name w:val="UserStyle_16"/>
    <w:link w:val="48"/>
    <w:qFormat/>
    <w:uiPriority w:val="0"/>
    <w:rPr>
      <w:rFonts w:ascii="Times New Roman" w:hAnsi="Times New Roman" w:eastAsia="宋体"/>
      <w:sz w:val="24"/>
    </w:rPr>
  </w:style>
  <w:style w:type="paragraph" w:customStyle="1" w:styleId="48">
    <w:name w:val="179"/>
    <w:basedOn w:val="1"/>
    <w:link w:val="47"/>
    <w:qFormat/>
    <w:uiPriority w:val="0"/>
    <w:pPr>
      <w:ind w:firstLine="420"/>
    </w:pPr>
    <w:rPr>
      <w:kern w:val="0"/>
      <w:szCs w:val="20"/>
    </w:rPr>
  </w:style>
  <w:style w:type="character" w:customStyle="1" w:styleId="49">
    <w:name w:val="UserStyle_17"/>
    <w:qFormat/>
    <w:uiPriority w:val="0"/>
    <w:rPr>
      <w:color w:val="808080"/>
      <w:shd w:val="clear" w:color="auto" w:fill="E6E6E6"/>
    </w:rPr>
  </w:style>
  <w:style w:type="paragraph" w:customStyle="1" w:styleId="50">
    <w:name w:val="UserStyle_18"/>
    <w:basedOn w:val="12"/>
    <w:qFormat/>
    <w:uiPriority w:val="0"/>
    <w:pPr>
      <w:spacing w:before="240" w:after="120" w:line="300" w:lineRule="auto"/>
      <w:ind w:left="0"/>
    </w:pPr>
    <w:rPr>
      <w:rFonts w:ascii="宋体"/>
      <w:bCs w:val="0"/>
      <w:sz w:val="24"/>
      <w:szCs w:val="24"/>
    </w:rPr>
  </w:style>
  <w:style w:type="paragraph" w:customStyle="1" w:styleId="51">
    <w:name w:val="UserStyle_19"/>
    <w:basedOn w:val="1"/>
    <w:qFormat/>
    <w:uiPriority w:val="0"/>
    <w:pPr>
      <w:numPr>
        <w:ilvl w:val="0"/>
        <w:numId w:val="2"/>
      </w:numPr>
      <w:spacing w:before="100" w:beforeAutospacing="1" w:after="100" w:afterAutospacing="1"/>
      <w:ind w:firstLine="0" w:firstLineChars="0"/>
    </w:pPr>
    <w:rPr>
      <w:szCs w:val="24"/>
    </w:rPr>
  </w:style>
  <w:style w:type="paragraph" w:customStyle="1" w:styleId="52">
    <w:name w:val="UserStyle_20"/>
    <w:basedOn w:val="1"/>
    <w:qFormat/>
    <w:uiPriority w:val="0"/>
    <w:pPr>
      <w:snapToGrid w:val="0"/>
      <w:spacing w:before="0" w:line="365" w:lineRule="auto"/>
      <w:ind w:firstLine="600"/>
    </w:pPr>
    <w:rPr>
      <w:rFonts w:ascii="仿宋_GB2312" w:hAnsi="黑体" w:eastAsia="仿宋_GB2312"/>
      <w:sz w:val="30"/>
      <w:szCs w:val="21"/>
    </w:rPr>
  </w:style>
  <w:style w:type="paragraph" w:customStyle="1" w:styleId="53">
    <w:name w:val="UserStyle_21"/>
    <w:basedOn w:val="12"/>
    <w:next w:val="1"/>
    <w:qFormat/>
    <w:uiPriority w:val="0"/>
    <w:pPr>
      <w:numPr>
        <w:ilvl w:val="0"/>
        <w:numId w:val="1"/>
      </w:numPr>
      <w:spacing w:before="240" w:line="259" w:lineRule="auto"/>
      <w:ind w:firstLine="0"/>
    </w:pPr>
    <w:rPr>
      <w:rFonts w:ascii="等线 Light" w:hAnsi="等线 Light" w:eastAsia="等线 Light"/>
      <w:b w:val="0"/>
      <w:bCs w:val="0"/>
      <w:color w:val="2F5496"/>
      <w:kern w:val="0"/>
    </w:rPr>
  </w:style>
  <w:style w:type="paragraph" w:customStyle="1" w:styleId="54">
    <w:name w:val="266"/>
    <w:basedOn w:val="12"/>
    <w:next w:val="1"/>
    <w:qFormat/>
    <w:uiPriority w:val="0"/>
    <w:pPr>
      <w:spacing w:before="480" w:line="276" w:lineRule="auto"/>
      <w:ind w:left="0"/>
    </w:pPr>
    <w:rPr>
      <w:rFonts w:ascii="Cambria" w:hAnsi="Cambria" w:eastAsia="宋体" w:cs="Times New Roman"/>
      <w:color w:val="365F91"/>
      <w:kern w:val="0"/>
      <w:sz w:val="28"/>
      <w:szCs w:val="28"/>
    </w:rPr>
  </w:style>
  <w:style w:type="character" w:customStyle="1" w:styleId="55">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174</Words>
  <Characters>992</Characters>
  <Lines>8</Lines>
  <Paragraphs>2</Paragraphs>
  <TotalTime>7</TotalTime>
  <ScaleCrop>false</ScaleCrop>
  <LinksUpToDate>false</LinksUpToDate>
  <CharactersWithSpaces>1164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2021-04-12T03:02:00Z</dcterms:created>
  <dc:creator>lining</dc:creator>
  <cp:lastModifiedBy>米方卓</cp:lastModifiedBy>
  <dcterms:modified xsi:type="dcterms:W3CDTF">2021-04-12T09:47:30Z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A1E3E27BF9B542F896E8FD11877FCBA4</vt:lpwstr>
  </property>
</Properties>
</file>